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490</w:t>
      </w:r>
    </w:p>
    <w:p>
      <w:r>
        <w:t>Bundesgericht (BGE), 2000-08-30, DE</w:t>
      </w:r>
    </w:p>
    <w:p>
      <w:r>
        <w:rPr>
          <w:b/>
        </w:rPr>
        <w:t xml:space="preserve">Quelle: </w:t>
      </w:r>
      <w:r>
        <w:t>https://mcp.opencaselaw.ch/entscheid/bge_126 III 490</w:t>
      </w:r>
    </w:p>
    <w:p>
      <w:r>
        <w:t>FR: ATF 126 III 490</w:t>
      </w:r>
    </w:p>
    <w:p>
      <w:r>
        <w:t>IT: DTF 126 III 490</w:t>
      </w:r>
    </w:p>
    <w:p>
      <w:pPr>
        <w:pStyle w:val="Heading2"/>
      </w:pPr>
      <w:r>
        <w:t>Regeste</w:t>
      </w:r>
    </w:p>
    <w:p>
      <w:r>
        <w:t>Regeste Art. 27 der Gebührenverordnung zum SchKG (GebV SchKG; SR 281.35). Die Verrichtungen des Betreibungsamtes im Zusammenhang mit der Verwaltung eines Grundstücks werden durch die in Art. 27 Abs. 1 GebV SchKG festgelegte Pauschalgebühr abschliessend abgegolten.</w:t>
      </w:r>
    </w:p>
    <w:p>
      <w:pPr>
        <w:pStyle w:val="Heading2"/>
      </w:pPr>
      <w:r>
        <w:t>Erwägungen</w:t>
      </w:r>
    </w:p>
    <w:p>
      <w:r>
        <w:rPr>
          <w:b/>
        </w:rPr>
        <w:t>E. 2</w:t>
      </w:r>
    </w:p>
    <w:p>
      <w:r>
        <w:t>Nach Art. 2 der Gebührenverordnung vom 23. September 1996 zum Bundesgesetz über Schuldbetreibung und Konkurs (GebV SchKG; SR 281.35) steht Betreibungsbeamten das Recht zu, Entscheide der Aufsichtsbehörden zur Anwendung der Gebührenverordnung weiterzuziehen. Aus dieser Sicht ist auf die Beschwerde mithin ohne weiteres einzutreten.</w:t>
      </w:r>
    </w:p>
    <w:p>
      <w:r>
        <w:rPr>
          <w:b/>
        </w:rPr>
        <w:t>E. 3</w:t>
      </w:r>
    </w:p>
    <w:p>
      <w:r>
        <w:t>a) Das Obergericht geht davon aus, dass sämtliche Handlungen, die das beschwerdeführende Amt in der Zusammenstellung vom 17. März 2000 (detailliert) in Rechnung gestellt habe, einen Bezug zur Grundstückverwaltung im Rahmen von Grundpfandbetreibungen gehabt hätten. Gestützt auf seine ausführlichen Erwägungen ist es alsdann zum Schluss gelangt, diese amtlichen Verrichtungen seien mit der in Art. 27 Abs. 1 GebV SchKG für die Verwaltung von Grundstücken (einschliesslich Abschluss von Miet- oder Pachtverträgen sowie Buch- und Rechnungsführung) festgesetzten Pauschalgebühr (5% der während der Dauer der Verwaltung erzielten oder erzielbaren Mietzinsen) abschliessend abgegolten. Dies ergebe sich aus der Auslegung der genannten Bestimmung wie auch aus ihrer formellen und systematischen Einreihung in der Gebührenverordnung. Zur Tragweite der Pauschalgebühr habe das Bundesgericht in einem unter der Herrschaft des Gebührentarifs vom 7. Juli 1971 ergangenen Urteil ( BGE 121 III 187 E. 2b S. 189) die gleiche Auffassung vertreten. Die Vorinstanz hält mithin dafür, dass es dem Betreibungsamt in einem Fall der vorliegenden Art nicht frei stehe, seine Verrichtungen (zusätzlich) nach Zeitaufwand oder nach Anzahl geschriebener Seiten und geführter Telefonate zu verrechnen. Wo die nach Art. 27 Abs. 1 GebV SchKG ermittelte Gebühr angesichts der geleisteten Arbeit nicht mehr als angemessen erscheine, sei im Sinne von Art. 27 Abs. 4 GebV SchKG allenfalls eine Erhöhung zu prüfen. b) Der schon von der unteren Aufsichtsbehörde vertretenen Auffassung des Obergerichts ist beizupflichten. Das beschwerdeführende Amt, das sich damit begnügt, in appellatorischer Form seine eigene Sicht der Dinge vorzutragen, vermag ihr nichts Stichhaltiges entgegenzuhalten: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